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4A" w:rsidRDefault="008E7C4A" w:rsidP="008E7C4A">
      <w:pPr>
        <w:pBdr>
          <w:bottom w:val="single" w:sz="6" w:space="1" w:color="auto"/>
        </w:pBdr>
        <w:jc w:val="center"/>
        <w:rPr>
          <w:color w:val="4472C4" w:themeColor="accent5"/>
          <w:sz w:val="32"/>
          <w:szCs w:val="32"/>
        </w:rPr>
      </w:pPr>
      <w:r>
        <w:rPr>
          <w:color w:val="4472C4" w:themeColor="accent5"/>
          <w:sz w:val="32"/>
          <w:szCs w:val="32"/>
        </w:rPr>
        <w:t>Baustein 08b – Physical Computing</w:t>
      </w:r>
    </w:p>
    <w:p w:rsidR="00937C45" w:rsidRDefault="00937C45" w:rsidP="002A20DE"/>
    <w:p w:rsidR="00C77B82" w:rsidRDefault="00C77B82" w:rsidP="002A20DE">
      <w:r>
        <w:t>Zum Thema Programmieren gibt es ein separates Modul im FAIBLE-Projekt (F10)</w:t>
      </w:r>
    </w:p>
    <w:p w:rsidR="00662C9B" w:rsidRDefault="00662C9B" w:rsidP="00662C9B"/>
    <w:p w:rsidR="00C77B82" w:rsidRDefault="00C77B82" w:rsidP="00662C9B"/>
    <w:p w:rsidR="00C77B82" w:rsidRDefault="00C77B82" w:rsidP="00662C9B"/>
    <w:p w:rsidR="00C77B82" w:rsidRDefault="00C77B82" w:rsidP="00662C9B"/>
    <w:p w:rsidR="0054136E" w:rsidRDefault="0054136E" w:rsidP="00662C9B">
      <w:bookmarkStart w:id="0" w:name="_GoBack"/>
      <w:bookmarkEnd w:id="0"/>
    </w:p>
    <w:p w:rsidR="00662C9B" w:rsidRDefault="00662C9B" w:rsidP="00662C9B">
      <w:pPr>
        <w:jc w:val="center"/>
        <w:rPr>
          <w:sz w:val="32"/>
          <w:szCs w:val="32"/>
        </w:rPr>
      </w:pPr>
      <w:r w:rsidRPr="007B686A">
        <w:rPr>
          <w:sz w:val="32"/>
          <w:szCs w:val="32"/>
        </w:rPr>
        <w:t xml:space="preserve">Bausteine in FAIBLE </w:t>
      </w:r>
    </w:p>
    <w:p w:rsidR="00662C9B" w:rsidRPr="00662C9B" w:rsidRDefault="00662C9B" w:rsidP="00662C9B">
      <w:pPr>
        <w:jc w:val="center"/>
      </w:pPr>
      <w:r w:rsidRPr="00662C9B">
        <w:t>(Fachdidaktik Informatik in Bausteinen für die Lehre)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659"/>
        <w:gridCol w:w="3384"/>
        <w:gridCol w:w="287"/>
        <w:gridCol w:w="557"/>
        <w:gridCol w:w="4288"/>
      </w:tblGrid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F01</w:t>
            </w:r>
          </w:p>
        </w:tc>
        <w:tc>
          <w:tcPr>
            <w:tcW w:w="3384" w:type="dxa"/>
          </w:tcPr>
          <w:p w:rsidR="0095566A" w:rsidRDefault="0095566A" w:rsidP="0095566A">
            <w:pPr>
              <w:spacing w:after="160"/>
            </w:pPr>
            <w:r>
              <w:t>Geschichte der Informatik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r>
              <w:t>F09</w:t>
            </w:r>
          </w:p>
        </w:tc>
        <w:tc>
          <w:tcPr>
            <w:tcW w:w="4288" w:type="dxa"/>
          </w:tcPr>
          <w:p w:rsidR="0095566A" w:rsidRDefault="0095566A" w:rsidP="0095566A">
            <w:r>
              <w:t>Didaktische Rekonstruktion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F02</w:t>
            </w:r>
          </w:p>
        </w:tc>
        <w:tc>
          <w:tcPr>
            <w:tcW w:w="3384" w:type="dxa"/>
          </w:tcPr>
          <w:p w:rsidR="0095566A" w:rsidRDefault="0095566A" w:rsidP="0095566A">
            <w:pPr>
              <w:spacing w:after="160"/>
            </w:pPr>
            <w:r w:rsidRPr="007B686A">
              <w:t>Informatische Bildung für eine digitale Welt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C5E0B3" w:themeFill="accent6" w:themeFillTint="66"/>
          </w:tcPr>
          <w:p w:rsidR="0095566A" w:rsidRDefault="0095566A" w:rsidP="0095566A">
            <w:pPr>
              <w:spacing w:after="160"/>
            </w:pPr>
            <w:r>
              <w:t>F10</w:t>
            </w:r>
          </w:p>
        </w:tc>
        <w:tc>
          <w:tcPr>
            <w:tcW w:w="4288" w:type="dxa"/>
            <w:shd w:val="clear" w:color="auto" w:fill="C5E0B3" w:themeFill="accent6" w:themeFillTint="66"/>
          </w:tcPr>
          <w:p w:rsidR="0095566A" w:rsidRDefault="0095566A" w:rsidP="0095566A">
            <w:pPr>
              <w:spacing w:after="160"/>
            </w:pPr>
            <w:r>
              <w:t>Programmieren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F03</w:t>
            </w:r>
          </w:p>
        </w:tc>
        <w:tc>
          <w:tcPr>
            <w:tcW w:w="3384" w:type="dxa"/>
          </w:tcPr>
          <w:p w:rsidR="0095566A" w:rsidRDefault="0095566A" w:rsidP="0095566A">
            <w:pPr>
              <w:spacing w:after="160"/>
            </w:pPr>
            <w:r w:rsidRPr="007B686A">
              <w:t>Informatik Unterrichtsmodelle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F11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Sehen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F04</w:t>
            </w:r>
          </w:p>
        </w:tc>
        <w:tc>
          <w:tcPr>
            <w:tcW w:w="3384" w:type="dxa"/>
          </w:tcPr>
          <w:p w:rsidR="0095566A" w:rsidRDefault="0095566A" w:rsidP="0095566A">
            <w:pPr>
              <w:spacing w:after="160"/>
            </w:pPr>
            <w:r w:rsidRPr="007B686A">
              <w:t>Ideenorientierung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F14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Informatikdidaktische Prinzipien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F05</w:t>
            </w:r>
          </w:p>
        </w:tc>
        <w:tc>
          <w:tcPr>
            <w:tcW w:w="3384" w:type="dxa"/>
          </w:tcPr>
          <w:p w:rsidR="0095566A" w:rsidRDefault="0095566A" w:rsidP="0095566A">
            <w:pPr>
              <w:spacing w:after="160"/>
            </w:pPr>
            <w:r w:rsidRPr="007B686A">
              <w:t>Modellorientierung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F16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OER-Zyklus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F06</w:t>
            </w:r>
          </w:p>
        </w:tc>
        <w:tc>
          <w:tcPr>
            <w:tcW w:w="3384" w:type="dxa"/>
          </w:tcPr>
          <w:p w:rsidR="0095566A" w:rsidRPr="007B686A" w:rsidRDefault="0095566A" w:rsidP="0095566A">
            <w:pPr>
              <w:spacing w:after="160"/>
            </w:pPr>
            <w:r w:rsidRPr="007B686A">
              <w:t>Systemorientierung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F17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Inklusion praktisch erfahren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F07</w:t>
            </w:r>
          </w:p>
        </w:tc>
        <w:tc>
          <w:tcPr>
            <w:tcW w:w="3384" w:type="dxa"/>
          </w:tcPr>
          <w:p w:rsidR="0095566A" w:rsidRPr="007B686A" w:rsidRDefault="0095566A" w:rsidP="0095566A">
            <w:pPr>
              <w:spacing w:after="160"/>
            </w:pPr>
            <w:r w:rsidRPr="007B686A">
              <w:t>Datenbewusstsein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F19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Unterrichtsmethoden</w:t>
            </w:r>
          </w:p>
        </w:tc>
      </w:tr>
      <w:tr w:rsidR="0095566A" w:rsidTr="00C77B82">
        <w:tc>
          <w:tcPr>
            <w:tcW w:w="659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F08a</w:t>
            </w:r>
          </w:p>
        </w:tc>
        <w:tc>
          <w:tcPr>
            <w:tcW w:w="3384" w:type="dxa"/>
          </w:tcPr>
          <w:p w:rsidR="0095566A" w:rsidRPr="007B686A" w:rsidRDefault="0095566A" w:rsidP="0095566A">
            <w:pPr>
              <w:spacing w:after="160"/>
            </w:pPr>
            <w:r>
              <w:t>Informatik im Kontext</w:t>
            </w:r>
            <w:r w:rsidR="009F65A9">
              <w:t xml:space="preserve"> (</w:t>
            </w:r>
            <w:proofErr w:type="spellStart"/>
            <w:r w:rsidR="009F65A9">
              <w:t>IniK</w:t>
            </w:r>
            <w:proofErr w:type="spellEnd"/>
            <w:r w:rsidR="009F65A9">
              <w:t>)</w:t>
            </w:r>
          </w:p>
        </w:tc>
        <w:tc>
          <w:tcPr>
            <w:tcW w:w="287" w:type="dxa"/>
          </w:tcPr>
          <w:p w:rsidR="0095566A" w:rsidRDefault="0095566A" w:rsidP="0095566A">
            <w:pPr>
              <w:spacing w:after="160"/>
            </w:pPr>
          </w:p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>
            <w:pPr>
              <w:spacing w:after="160"/>
            </w:pPr>
            <w:r>
              <w:t>F20</w:t>
            </w:r>
          </w:p>
        </w:tc>
        <w:tc>
          <w:tcPr>
            <w:tcW w:w="4288" w:type="dxa"/>
          </w:tcPr>
          <w:p w:rsidR="0095566A" w:rsidRDefault="0095566A" w:rsidP="0095566A">
            <w:pPr>
              <w:spacing w:after="160"/>
            </w:pPr>
            <w:r>
              <w:t>Praxistipps</w:t>
            </w:r>
          </w:p>
        </w:tc>
      </w:tr>
      <w:tr w:rsidR="0095566A" w:rsidTr="00C77B82">
        <w:tc>
          <w:tcPr>
            <w:tcW w:w="659" w:type="dxa"/>
            <w:shd w:val="clear" w:color="auto" w:fill="E7E6E6" w:themeFill="background2"/>
          </w:tcPr>
          <w:p w:rsidR="0095566A" w:rsidRPr="00C77B82" w:rsidRDefault="0095566A" w:rsidP="00C77B82">
            <w:pPr>
              <w:spacing w:after="160"/>
            </w:pPr>
            <w:r w:rsidRPr="00C77B82">
              <w:t>F08b</w:t>
            </w:r>
          </w:p>
        </w:tc>
        <w:tc>
          <w:tcPr>
            <w:tcW w:w="3384" w:type="dxa"/>
            <w:shd w:val="clear" w:color="auto" w:fill="auto"/>
          </w:tcPr>
          <w:p w:rsidR="0095566A" w:rsidRPr="00C77B82" w:rsidRDefault="0095566A" w:rsidP="00C77B82">
            <w:pPr>
              <w:spacing w:after="160"/>
            </w:pPr>
            <w:proofErr w:type="spellStart"/>
            <w:r w:rsidRPr="00C77B82">
              <w:t>Physical</w:t>
            </w:r>
            <w:proofErr w:type="spellEnd"/>
            <w:r w:rsidRPr="00C77B82">
              <w:t xml:space="preserve"> Computing</w:t>
            </w:r>
            <w:r w:rsidRPr="00AB5A0F">
              <w:t>, (</w:t>
            </w:r>
            <w:proofErr w:type="spellStart"/>
            <w:r w:rsidRPr="00AB5A0F">
              <w:t>Un</w:t>
            </w:r>
            <w:proofErr w:type="spellEnd"/>
            <w:r w:rsidRPr="00AB5A0F">
              <w:t>)</w:t>
            </w:r>
            <w:proofErr w:type="spellStart"/>
            <w:r w:rsidRPr="00AB5A0F">
              <w:t>plugged</w:t>
            </w:r>
            <w:proofErr w:type="spellEnd"/>
          </w:p>
        </w:tc>
        <w:tc>
          <w:tcPr>
            <w:tcW w:w="287" w:type="dxa"/>
          </w:tcPr>
          <w:p w:rsidR="0095566A" w:rsidRDefault="0095566A" w:rsidP="0095566A"/>
        </w:tc>
        <w:tc>
          <w:tcPr>
            <w:tcW w:w="557" w:type="dxa"/>
            <w:shd w:val="clear" w:color="auto" w:fill="EDEDED" w:themeFill="accent3" w:themeFillTint="33"/>
          </w:tcPr>
          <w:p w:rsidR="0095566A" w:rsidRDefault="0095566A" w:rsidP="0095566A"/>
        </w:tc>
        <w:tc>
          <w:tcPr>
            <w:tcW w:w="4288" w:type="dxa"/>
          </w:tcPr>
          <w:p w:rsidR="0095566A" w:rsidRDefault="0095566A" w:rsidP="0095566A"/>
        </w:tc>
      </w:tr>
    </w:tbl>
    <w:p w:rsidR="00662C9B" w:rsidRDefault="00662C9B" w:rsidP="00662C9B">
      <w:pPr>
        <w:spacing w:line="259" w:lineRule="auto"/>
      </w:pPr>
    </w:p>
    <w:sectPr w:rsidR="00662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3F4A"/>
    <w:multiLevelType w:val="hybridMultilevel"/>
    <w:tmpl w:val="6004F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312A"/>
    <w:multiLevelType w:val="hybridMultilevel"/>
    <w:tmpl w:val="3CEA4E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F0B55"/>
    <w:multiLevelType w:val="hybridMultilevel"/>
    <w:tmpl w:val="B5249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3ACD"/>
    <w:multiLevelType w:val="hybridMultilevel"/>
    <w:tmpl w:val="00C62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4B5"/>
    <w:multiLevelType w:val="hybridMultilevel"/>
    <w:tmpl w:val="7D28F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AAF"/>
    <w:multiLevelType w:val="hybridMultilevel"/>
    <w:tmpl w:val="C41E5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F133B"/>
    <w:multiLevelType w:val="hybridMultilevel"/>
    <w:tmpl w:val="F5740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44B6"/>
    <w:multiLevelType w:val="hybridMultilevel"/>
    <w:tmpl w:val="9B92A5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FB2B9C"/>
    <w:multiLevelType w:val="hybridMultilevel"/>
    <w:tmpl w:val="63E4B328"/>
    <w:lvl w:ilvl="0" w:tplc="3ED4BC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40C21"/>
    <w:multiLevelType w:val="hybridMultilevel"/>
    <w:tmpl w:val="ED1CE9E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A7AFA"/>
    <w:multiLevelType w:val="hybridMultilevel"/>
    <w:tmpl w:val="43D0E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201EB"/>
    <w:multiLevelType w:val="hybridMultilevel"/>
    <w:tmpl w:val="A6DAA7C6"/>
    <w:lvl w:ilvl="0" w:tplc="F8B8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E8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EA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41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2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E0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0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C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703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7F680F"/>
    <w:multiLevelType w:val="hybridMultilevel"/>
    <w:tmpl w:val="C3BCA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75B77"/>
    <w:multiLevelType w:val="hybridMultilevel"/>
    <w:tmpl w:val="1860965A"/>
    <w:lvl w:ilvl="0" w:tplc="ADDAF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0D"/>
    <w:rsid w:val="000527D5"/>
    <w:rsid w:val="000868AC"/>
    <w:rsid w:val="00110358"/>
    <w:rsid w:val="00126DC6"/>
    <w:rsid w:val="0014489B"/>
    <w:rsid w:val="00193663"/>
    <w:rsid w:val="001A5589"/>
    <w:rsid w:val="001B59B6"/>
    <w:rsid w:val="001D2524"/>
    <w:rsid w:val="001D3D0D"/>
    <w:rsid w:val="001F33AA"/>
    <w:rsid w:val="00202B68"/>
    <w:rsid w:val="00211975"/>
    <w:rsid w:val="00251B04"/>
    <w:rsid w:val="002A1F68"/>
    <w:rsid w:val="002A20DE"/>
    <w:rsid w:val="002B2B45"/>
    <w:rsid w:val="002F06F0"/>
    <w:rsid w:val="002F63D6"/>
    <w:rsid w:val="00371173"/>
    <w:rsid w:val="0037590A"/>
    <w:rsid w:val="003D03D2"/>
    <w:rsid w:val="00400478"/>
    <w:rsid w:val="004533F1"/>
    <w:rsid w:val="004907FB"/>
    <w:rsid w:val="00495EC8"/>
    <w:rsid w:val="004B0F88"/>
    <w:rsid w:val="004B441E"/>
    <w:rsid w:val="004D064E"/>
    <w:rsid w:val="00500540"/>
    <w:rsid w:val="0054136E"/>
    <w:rsid w:val="00541FE0"/>
    <w:rsid w:val="00581F89"/>
    <w:rsid w:val="00590BC1"/>
    <w:rsid w:val="0059238F"/>
    <w:rsid w:val="005B1378"/>
    <w:rsid w:val="005C1102"/>
    <w:rsid w:val="005E4483"/>
    <w:rsid w:val="00615B3D"/>
    <w:rsid w:val="00633093"/>
    <w:rsid w:val="00636762"/>
    <w:rsid w:val="0063765D"/>
    <w:rsid w:val="00646649"/>
    <w:rsid w:val="00661A1C"/>
    <w:rsid w:val="00662C9B"/>
    <w:rsid w:val="0067524A"/>
    <w:rsid w:val="00676F7E"/>
    <w:rsid w:val="006835B0"/>
    <w:rsid w:val="006974CF"/>
    <w:rsid w:val="006B077E"/>
    <w:rsid w:val="0078440E"/>
    <w:rsid w:val="00791C41"/>
    <w:rsid w:val="00792F35"/>
    <w:rsid w:val="007A5232"/>
    <w:rsid w:val="007B686A"/>
    <w:rsid w:val="007F4563"/>
    <w:rsid w:val="00824EE2"/>
    <w:rsid w:val="00827240"/>
    <w:rsid w:val="0086096D"/>
    <w:rsid w:val="008E7C4A"/>
    <w:rsid w:val="00922B31"/>
    <w:rsid w:val="0092624E"/>
    <w:rsid w:val="0093598A"/>
    <w:rsid w:val="00937C45"/>
    <w:rsid w:val="0095566A"/>
    <w:rsid w:val="00982FAA"/>
    <w:rsid w:val="009D34A6"/>
    <w:rsid w:val="009F65A9"/>
    <w:rsid w:val="00AB5A0F"/>
    <w:rsid w:val="00AC4D79"/>
    <w:rsid w:val="00B22BE2"/>
    <w:rsid w:val="00B30A1E"/>
    <w:rsid w:val="00B36094"/>
    <w:rsid w:val="00B37ABA"/>
    <w:rsid w:val="00B54384"/>
    <w:rsid w:val="00B95A96"/>
    <w:rsid w:val="00BB100E"/>
    <w:rsid w:val="00BC1C45"/>
    <w:rsid w:val="00BD6282"/>
    <w:rsid w:val="00C26567"/>
    <w:rsid w:val="00C663C7"/>
    <w:rsid w:val="00C67D51"/>
    <w:rsid w:val="00C713C0"/>
    <w:rsid w:val="00C77B82"/>
    <w:rsid w:val="00CB1CE0"/>
    <w:rsid w:val="00CD1B75"/>
    <w:rsid w:val="00CF2327"/>
    <w:rsid w:val="00CF5835"/>
    <w:rsid w:val="00D27F7A"/>
    <w:rsid w:val="00D50507"/>
    <w:rsid w:val="00D57554"/>
    <w:rsid w:val="00D74B63"/>
    <w:rsid w:val="00DA64CE"/>
    <w:rsid w:val="00DC7A8D"/>
    <w:rsid w:val="00DD190B"/>
    <w:rsid w:val="00E2529B"/>
    <w:rsid w:val="00E46736"/>
    <w:rsid w:val="00E716C4"/>
    <w:rsid w:val="00EB33D9"/>
    <w:rsid w:val="00EB3BEB"/>
    <w:rsid w:val="00EB5C13"/>
    <w:rsid w:val="00ED74BC"/>
    <w:rsid w:val="00EF20E1"/>
    <w:rsid w:val="00F31432"/>
    <w:rsid w:val="00F35627"/>
    <w:rsid w:val="00F403EF"/>
    <w:rsid w:val="00F70A7A"/>
    <w:rsid w:val="00FA303F"/>
    <w:rsid w:val="00FE3350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CC22-5825-421C-AF86-D8B4297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C4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7240"/>
    <w:pPr>
      <w:ind w:left="720"/>
      <w:contextualSpacing/>
    </w:pPr>
  </w:style>
  <w:style w:type="paragraph" w:customStyle="1" w:styleId="Code">
    <w:name w:val="Code"/>
    <w:basedOn w:val="Standard"/>
    <w:link w:val="CodeZchn"/>
    <w:autoRedefine/>
    <w:qFormat/>
    <w:rsid w:val="00541FE0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CodeZchn">
    <w:name w:val="Code Zchn"/>
    <w:basedOn w:val="Absatz-Standardschriftart"/>
    <w:link w:val="Code"/>
    <w:rsid w:val="00541FE0"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uiPriority w:val="39"/>
    <w:rsid w:val="0050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92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2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2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3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3E7-9600-4615-AB1A-63D10A3E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MIFcom GmbH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dmm</cp:lastModifiedBy>
  <cp:revision>95</cp:revision>
  <dcterms:created xsi:type="dcterms:W3CDTF">2024-02-16T11:27:00Z</dcterms:created>
  <dcterms:modified xsi:type="dcterms:W3CDTF">2024-07-18T18:07:00Z</dcterms:modified>
</cp:coreProperties>
</file>